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Layout w:type="fixed"/>
        <w:tblLook w:val="04A0" w:firstRow="1" w:lastRow="0" w:firstColumn="1" w:lastColumn="0" w:noHBand="0" w:noVBand="1"/>
      </w:tblPr>
      <w:tblGrid>
        <w:gridCol w:w="5150"/>
        <w:gridCol w:w="4705"/>
      </w:tblGrid>
      <w:tr w:rsidR="0088295F" w:rsidRPr="002166E8" w:rsidTr="0088295F">
        <w:tc>
          <w:tcPr>
            <w:tcW w:w="5150" w:type="dxa"/>
          </w:tcPr>
          <w:p w:rsidR="0088295F" w:rsidRPr="002166E8" w:rsidRDefault="0088295F" w:rsidP="0088295F">
            <w:pPr>
              <w:spacing w:after="200" w:line="276" w:lineRule="auto"/>
              <w:rPr>
                <w:sz w:val="28"/>
                <w:szCs w:val="20"/>
              </w:rPr>
            </w:pPr>
          </w:p>
        </w:tc>
        <w:tc>
          <w:tcPr>
            <w:tcW w:w="4705" w:type="dxa"/>
          </w:tcPr>
          <w:p w:rsidR="0088295F" w:rsidRPr="002166E8" w:rsidRDefault="0088295F" w:rsidP="008E72F0">
            <w:pPr>
              <w:widowControl w:val="0"/>
              <w:autoSpaceDE w:val="0"/>
              <w:autoSpaceDN w:val="0"/>
              <w:adjustRightInd w:val="0"/>
              <w:jc w:val="center"/>
              <w:rPr>
                <w:b/>
                <w:sz w:val="28"/>
                <w:szCs w:val="20"/>
              </w:rPr>
            </w:pPr>
          </w:p>
        </w:tc>
      </w:tr>
    </w:tbl>
    <w:p w:rsidR="0088295F" w:rsidRPr="002166E8" w:rsidRDefault="0088295F" w:rsidP="0088295F">
      <w:pPr>
        <w:autoSpaceDE w:val="0"/>
        <w:autoSpaceDN w:val="0"/>
        <w:adjustRightInd w:val="0"/>
        <w:spacing w:line="340" w:lineRule="exact"/>
        <w:ind w:left="4248" w:firstLine="708"/>
        <w:rPr>
          <w:color w:val="000000"/>
          <w:sz w:val="26"/>
          <w:szCs w:val="26"/>
        </w:rPr>
      </w:pPr>
      <w:r w:rsidRPr="002166E8">
        <w:rPr>
          <w:color w:val="000000"/>
          <w:sz w:val="26"/>
          <w:szCs w:val="26"/>
        </w:rPr>
        <w:t xml:space="preserve">Утверждено </w:t>
      </w:r>
    </w:p>
    <w:p w:rsidR="0088295F" w:rsidRPr="002166E8" w:rsidRDefault="0088295F" w:rsidP="0088295F">
      <w:pPr>
        <w:autoSpaceDE w:val="0"/>
        <w:autoSpaceDN w:val="0"/>
        <w:adjustRightInd w:val="0"/>
        <w:spacing w:line="340" w:lineRule="exact"/>
        <w:ind w:left="4248" w:firstLine="708"/>
        <w:rPr>
          <w:color w:val="000000"/>
          <w:sz w:val="26"/>
          <w:szCs w:val="26"/>
        </w:rPr>
      </w:pPr>
      <w:r w:rsidRPr="002166E8">
        <w:rPr>
          <w:color w:val="000000"/>
          <w:sz w:val="26"/>
          <w:szCs w:val="26"/>
        </w:rPr>
        <w:t>решением Ученого совета ТГУ</w:t>
      </w:r>
    </w:p>
    <w:p w:rsidR="0088295F" w:rsidRDefault="0088295F" w:rsidP="0088295F">
      <w:pPr>
        <w:autoSpaceDE w:val="0"/>
        <w:autoSpaceDN w:val="0"/>
        <w:adjustRightInd w:val="0"/>
        <w:spacing w:line="340" w:lineRule="exact"/>
        <w:ind w:left="4956"/>
        <w:rPr>
          <w:color w:val="000000"/>
          <w:sz w:val="26"/>
          <w:szCs w:val="26"/>
        </w:rPr>
      </w:pPr>
      <w:r>
        <w:rPr>
          <w:color w:val="000000"/>
          <w:sz w:val="26"/>
          <w:szCs w:val="26"/>
        </w:rPr>
        <w:t>от 28 ноября 2012</w:t>
      </w:r>
      <w:r w:rsidRPr="002166E8">
        <w:rPr>
          <w:color w:val="000000"/>
          <w:sz w:val="26"/>
          <w:szCs w:val="26"/>
        </w:rPr>
        <w:t xml:space="preserve"> г., </w:t>
      </w:r>
      <w:r>
        <w:rPr>
          <w:color w:val="000000"/>
          <w:sz w:val="26"/>
          <w:szCs w:val="26"/>
        </w:rPr>
        <w:t>протокол № 9</w:t>
      </w:r>
    </w:p>
    <w:p w:rsidR="0088295F" w:rsidRPr="0088295F" w:rsidRDefault="0088295F" w:rsidP="0088295F">
      <w:pPr>
        <w:autoSpaceDE w:val="0"/>
        <w:autoSpaceDN w:val="0"/>
        <w:adjustRightInd w:val="0"/>
        <w:spacing w:line="340" w:lineRule="exact"/>
        <w:ind w:left="4956"/>
        <w:rPr>
          <w:color w:val="000000"/>
          <w:sz w:val="26"/>
          <w:szCs w:val="26"/>
        </w:rPr>
      </w:pPr>
    </w:p>
    <w:p w:rsidR="0088295F" w:rsidRPr="002166E8" w:rsidRDefault="0088295F" w:rsidP="0088295F">
      <w:pPr>
        <w:jc w:val="center"/>
        <w:rPr>
          <w:b/>
          <w:bCs/>
          <w:sz w:val="28"/>
          <w:szCs w:val="28"/>
        </w:rPr>
      </w:pPr>
      <w:r w:rsidRPr="002166E8">
        <w:rPr>
          <w:b/>
          <w:bCs/>
          <w:sz w:val="28"/>
          <w:szCs w:val="28"/>
        </w:rPr>
        <w:t>ПОЛОЖЕНИЕ</w:t>
      </w:r>
    </w:p>
    <w:p w:rsidR="0088295F" w:rsidRPr="002166E8" w:rsidRDefault="0088295F" w:rsidP="0088295F">
      <w:pPr>
        <w:spacing w:line="218" w:lineRule="auto"/>
        <w:jc w:val="center"/>
        <w:rPr>
          <w:b/>
          <w:sz w:val="26"/>
          <w:szCs w:val="26"/>
        </w:rPr>
      </w:pPr>
      <w:r w:rsidRPr="002166E8">
        <w:rPr>
          <w:b/>
          <w:sz w:val="26"/>
          <w:szCs w:val="26"/>
        </w:rPr>
        <w:t xml:space="preserve"> о почётном звании </w:t>
      </w:r>
    </w:p>
    <w:p w:rsidR="0088295F" w:rsidRPr="002166E8" w:rsidRDefault="0088295F" w:rsidP="0088295F">
      <w:pPr>
        <w:spacing w:line="218" w:lineRule="auto"/>
        <w:jc w:val="center"/>
        <w:rPr>
          <w:b/>
          <w:sz w:val="26"/>
          <w:szCs w:val="26"/>
        </w:rPr>
      </w:pPr>
      <w:r w:rsidRPr="002166E8">
        <w:rPr>
          <w:b/>
          <w:sz w:val="26"/>
          <w:szCs w:val="26"/>
        </w:rPr>
        <w:t xml:space="preserve">«Заслуженный профессор Томского государственного университета» </w:t>
      </w:r>
    </w:p>
    <w:p w:rsidR="0088295F" w:rsidRPr="002166E8" w:rsidRDefault="0088295F" w:rsidP="0088295F">
      <w:pPr>
        <w:spacing w:line="218" w:lineRule="auto"/>
        <w:jc w:val="center"/>
        <w:rPr>
          <w:b/>
          <w:sz w:val="26"/>
          <w:szCs w:val="26"/>
        </w:rPr>
      </w:pPr>
      <w:r w:rsidRPr="002166E8">
        <w:rPr>
          <w:b/>
          <w:sz w:val="26"/>
          <w:szCs w:val="26"/>
        </w:rPr>
        <w:t>(новая редакция)</w:t>
      </w:r>
    </w:p>
    <w:p w:rsidR="0088295F" w:rsidRPr="0088295F" w:rsidRDefault="0088295F" w:rsidP="0088295F">
      <w:pPr>
        <w:spacing w:line="218" w:lineRule="auto"/>
        <w:rPr>
          <w:sz w:val="26"/>
          <w:szCs w:val="26"/>
        </w:rPr>
      </w:pPr>
    </w:p>
    <w:p w:rsidR="0088295F" w:rsidRPr="0088295F" w:rsidRDefault="0088295F" w:rsidP="0088295F">
      <w:pPr>
        <w:jc w:val="both"/>
        <w:rPr>
          <w:color w:val="FF0000"/>
          <w:sz w:val="26"/>
          <w:szCs w:val="26"/>
        </w:rPr>
      </w:pPr>
      <w:r w:rsidRPr="0088295F">
        <w:rPr>
          <w:sz w:val="26"/>
          <w:szCs w:val="26"/>
        </w:rPr>
        <w:tab/>
        <w:t xml:space="preserve">Почётное звание «Заслуженный профессор Томского государственного университета» присваивается решением Учёного совета ТГУ за выдающийся вклад в развитие науки, образования и культуры, создание общепризнанных научно-педагогических школ и длительный стаж работы в Томском государственном университете. </w:t>
      </w:r>
    </w:p>
    <w:p w:rsidR="0088295F" w:rsidRPr="0088295F" w:rsidRDefault="0088295F" w:rsidP="0088295F">
      <w:pPr>
        <w:jc w:val="both"/>
        <w:rPr>
          <w:sz w:val="26"/>
          <w:szCs w:val="26"/>
        </w:rPr>
      </w:pPr>
      <w:r w:rsidRPr="0088295F">
        <w:rPr>
          <w:sz w:val="26"/>
          <w:szCs w:val="26"/>
        </w:rPr>
        <w:tab/>
        <w:t>К кандидатам на соискание почётного звания «Заслуженный профессор Томского государственного университета» предъявляются следующие требования:</w:t>
      </w:r>
    </w:p>
    <w:p w:rsidR="0088295F" w:rsidRPr="0088295F" w:rsidRDefault="0088295F" w:rsidP="0088295F">
      <w:pPr>
        <w:jc w:val="both"/>
        <w:rPr>
          <w:sz w:val="26"/>
          <w:szCs w:val="26"/>
        </w:rPr>
      </w:pPr>
      <w:r w:rsidRPr="0088295F">
        <w:rPr>
          <w:sz w:val="26"/>
          <w:szCs w:val="26"/>
        </w:rPr>
        <w:tab/>
        <w:t>1. Наличие учёного звания профессора.</w:t>
      </w:r>
    </w:p>
    <w:p w:rsidR="0088295F" w:rsidRPr="0088295F" w:rsidRDefault="0088295F" w:rsidP="0088295F">
      <w:pPr>
        <w:ind w:firstLine="708"/>
        <w:jc w:val="both"/>
        <w:rPr>
          <w:sz w:val="26"/>
          <w:szCs w:val="26"/>
        </w:rPr>
      </w:pPr>
      <w:r w:rsidRPr="0088295F">
        <w:rPr>
          <w:sz w:val="26"/>
          <w:szCs w:val="26"/>
        </w:rPr>
        <w:t xml:space="preserve">2. Наличие почётных званий «Заслуженный деятель науки РСФСР», «Заслуженный деятель науки и техники РСФСР»,  «Заслуженный деятель науки Российской Федерации», «Заслуженный деятель искусств Российской Федерации». </w:t>
      </w:r>
    </w:p>
    <w:p w:rsidR="0088295F" w:rsidRPr="0088295F" w:rsidRDefault="0088295F" w:rsidP="0088295F">
      <w:pPr>
        <w:ind w:firstLine="708"/>
        <w:jc w:val="both"/>
        <w:rPr>
          <w:sz w:val="26"/>
          <w:szCs w:val="26"/>
        </w:rPr>
      </w:pPr>
      <w:proofErr w:type="gramStart"/>
      <w:r w:rsidRPr="0088295F">
        <w:rPr>
          <w:sz w:val="26"/>
          <w:szCs w:val="26"/>
        </w:rPr>
        <w:t>Соискателями почётного звания «Заслуженный профессор Томского государственного университета» могут быть также Заслуженные работники отрасли или лауреаты Государственной премии Российской Федерации в области науки и техники и приравненных к ней по статусу национальных премий в области науки, образования, культуры и искусства при наличии созданной лично соискателем научной школы (как правило, научный руководитель 10 кандидатов наук, научный консультант 3 докторов наук, в</w:t>
      </w:r>
      <w:proofErr w:type="gramEnd"/>
      <w:r w:rsidRPr="0088295F">
        <w:rPr>
          <w:sz w:val="26"/>
          <w:szCs w:val="26"/>
        </w:rPr>
        <w:t xml:space="preserve"> соответствиями с требованиями, предъявляемыми Министерством образования Российской Федерации к кандидатурам, выдвигаемым на присвоение почётного звания «Заслуженный деятель науки Российской Федерации»). </w:t>
      </w:r>
    </w:p>
    <w:p w:rsidR="0088295F" w:rsidRPr="0088295F" w:rsidRDefault="0088295F" w:rsidP="0088295F">
      <w:pPr>
        <w:ind w:firstLine="708"/>
        <w:jc w:val="both"/>
        <w:rPr>
          <w:sz w:val="26"/>
          <w:szCs w:val="26"/>
        </w:rPr>
      </w:pPr>
      <w:r w:rsidRPr="0088295F">
        <w:rPr>
          <w:sz w:val="26"/>
          <w:szCs w:val="26"/>
        </w:rPr>
        <w:t>3. Стаж работы в Томском государственном университете, как правило, не менее 45 лет; стаж работы в должности профессора, как правило, не менее 20 лет.</w:t>
      </w:r>
    </w:p>
    <w:p w:rsidR="0088295F" w:rsidRPr="0088295F" w:rsidRDefault="0088295F" w:rsidP="0088295F">
      <w:pPr>
        <w:jc w:val="both"/>
        <w:rPr>
          <w:sz w:val="26"/>
          <w:szCs w:val="26"/>
        </w:rPr>
      </w:pPr>
      <w:r w:rsidRPr="0088295F">
        <w:rPr>
          <w:sz w:val="26"/>
          <w:szCs w:val="26"/>
        </w:rPr>
        <w:tab/>
        <w:t>Выдвижение кандидатур на соискание почётного звания «Заслуженный профессор Томского государственного университета» осуществляется по представлению учёных советов факультетов (институтов). По претендентам, получившим поддержку аттестационной комиссии, Ученый совет университета принимает решение путем тайного голосования.</w:t>
      </w:r>
    </w:p>
    <w:p w:rsidR="0088295F" w:rsidRPr="0088295F" w:rsidRDefault="0088295F" w:rsidP="0088295F">
      <w:pPr>
        <w:ind w:firstLine="708"/>
        <w:jc w:val="both"/>
        <w:rPr>
          <w:sz w:val="26"/>
          <w:szCs w:val="26"/>
        </w:rPr>
      </w:pPr>
      <w:r w:rsidRPr="0088295F">
        <w:rPr>
          <w:sz w:val="26"/>
          <w:szCs w:val="26"/>
        </w:rPr>
        <w:t>Решение о присвоении почётного звания «Заслуженный профессор ТГУ» считается принятым, если за него проголосовало более 50 % членов Ученого совета, присутствовавших на заседании, при наличии кворума (2/3 списочного состава Ученого совета).</w:t>
      </w:r>
    </w:p>
    <w:p w:rsidR="0088295F" w:rsidRPr="0088295F" w:rsidRDefault="0088295F" w:rsidP="0088295F">
      <w:pPr>
        <w:jc w:val="both"/>
        <w:rPr>
          <w:sz w:val="26"/>
          <w:szCs w:val="26"/>
        </w:rPr>
      </w:pPr>
      <w:r w:rsidRPr="0088295F">
        <w:rPr>
          <w:sz w:val="26"/>
          <w:szCs w:val="26"/>
        </w:rPr>
        <w:tab/>
        <w:t xml:space="preserve">Заслуженному профессору Томского государственного университета вручается соответствующий аттестат, медаль «В благодарность за вклад в развитие Томского государственного университета», а также устанавливается дополнительное к другим видам выплат пожизненное ежемесячное содержание в размере оклада профессора. </w:t>
      </w:r>
    </w:p>
    <w:p w:rsidR="0088295F" w:rsidRPr="0088295F" w:rsidRDefault="0088295F" w:rsidP="0088295F">
      <w:pPr>
        <w:ind w:firstLine="708"/>
        <w:jc w:val="both"/>
        <w:rPr>
          <w:sz w:val="26"/>
          <w:szCs w:val="26"/>
        </w:rPr>
      </w:pPr>
      <w:r w:rsidRPr="0088295F">
        <w:rPr>
          <w:sz w:val="26"/>
          <w:szCs w:val="26"/>
        </w:rPr>
        <w:t>Вручение аттестата и медали производится в торжественной обстановке на заседании Учёного совета ТГУ.</w:t>
      </w:r>
    </w:p>
    <w:p w:rsidR="00F2403D" w:rsidRPr="0088295F" w:rsidRDefault="0088295F" w:rsidP="0088295F">
      <w:pPr>
        <w:ind w:firstLine="708"/>
        <w:jc w:val="both"/>
        <w:rPr>
          <w:sz w:val="26"/>
          <w:szCs w:val="26"/>
        </w:rPr>
      </w:pPr>
      <w:r w:rsidRPr="0088295F">
        <w:rPr>
          <w:sz w:val="26"/>
          <w:szCs w:val="26"/>
        </w:rPr>
        <w:t>Заслуженный профессор ТГУ пользуется всеми льготами, предусмотренными для Заслуженных ветеранов ТГУ.</w:t>
      </w:r>
      <w:bookmarkStart w:id="0" w:name="_GoBack"/>
      <w:bookmarkEnd w:id="0"/>
    </w:p>
    <w:sectPr w:rsidR="00F2403D" w:rsidRPr="0088295F" w:rsidSect="0088295F">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5F"/>
    <w:rsid w:val="00032C98"/>
    <w:rsid w:val="00043DE8"/>
    <w:rsid w:val="00071B6C"/>
    <w:rsid w:val="000743AD"/>
    <w:rsid w:val="00077AB3"/>
    <w:rsid w:val="000835D4"/>
    <w:rsid w:val="00095EFE"/>
    <w:rsid w:val="000B17FD"/>
    <w:rsid w:val="000C21EE"/>
    <w:rsid w:val="000E4A94"/>
    <w:rsid w:val="001019AD"/>
    <w:rsid w:val="00106BE1"/>
    <w:rsid w:val="00111399"/>
    <w:rsid w:val="001126FF"/>
    <w:rsid w:val="00144974"/>
    <w:rsid w:val="00165EC0"/>
    <w:rsid w:val="00174510"/>
    <w:rsid w:val="00197F34"/>
    <w:rsid w:val="001D210F"/>
    <w:rsid w:val="001D4568"/>
    <w:rsid w:val="001E2D0A"/>
    <w:rsid w:val="001F2233"/>
    <w:rsid w:val="001F2811"/>
    <w:rsid w:val="00203576"/>
    <w:rsid w:val="00207E5E"/>
    <w:rsid w:val="00220669"/>
    <w:rsid w:val="002318AA"/>
    <w:rsid w:val="002345B4"/>
    <w:rsid w:val="00237788"/>
    <w:rsid w:val="00250A9D"/>
    <w:rsid w:val="002512AC"/>
    <w:rsid w:val="00291AE8"/>
    <w:rsid w:val="00294C02"/>
    <w:rsid w:val="002A69EB"/>
    <w:rsid w:val="002B2D72"/>
    <w:rsid w:val="002B523B"/>
    <w:rsid w:val="002C2339"/>
    <w:rsid w:val="002F1B4E"/>
    <w:rsid w:val="002F524D"/>
    <w:rsid w:val="003274C4"/>
    <w:rsid w:val="00342C5F"/>
    <w:rsid w:val="00371E4A"/>
    <w:rsid w:val="00393608"/>
    <w:rsid w:val="003B4B8C"/>
    <w:rsid w:val="003D5075"/>
    <w:rsid w:val="003F609C"/>
    <w:rsid w:val="00401D50"/>
    <w:rsid w:val="00402710"/>
    <w:rsid w:val="00431E03"/>
    <w:rsid w:val="00447998"/>
    <w:rsid w:val="0045319A"/>
    <w:rsid w:val="00466CF4"/>
    <w:rsid w:val="004A40D4"/>
    <w:rsid w:val="004D1D11"/>
    <w:rsid w:val="004D444D"/>
    <w:rsid w:val="004E0565"/>
    <w:rsid w:val="00511341"/>
    <w:rsid w:val="005176F8"/>
    <w:rsid w:val="00537440"/>
    <w:rsid w:val="0054556A"/>
    <w:rsid w:val="0055648E"/>
    <w:rsid w:val="00567AB4"/>
    <w:rsid w:val="00570FA8"/>
    <w:rsid w:val="00575A9F"/>
    <w:rsid w:val="00580472"/>
    <w:rsid w:val="005B4F5B"/>
    <w:rsid w:val="00613B37"/>
    <w:rsid w:val="00613C54"/>
    <w:rsid w:val="00643A42"/>
    <w:rsid w:val="0064689A"/>
    <w:rsid w:val="00657B9E"/>
    <w:rsid w:val="0066301C"/>
    <w:rsid w:val="006959BD"/>
    <w:rsid w:val="00696C1F"/>
    <w:rsid w:val="006A05EC"/>
    <w:rsid w:val="006A077E"/>
    <w:rsid w:val="006C0329"/>
    <w:rsid w:val="006C2ACF"/>
    <w:rsid w:val="006D25C1"/>
    <w:rsid w:val="006E247E"/>
    <w:rsid w:val="006F51C1"/>
    <w:rsid w:val="00711637"/>
    <w:rsid w:val="00730A94"/>
    <w:rsid w:val="0074377D"/>
    <w:rsid w:val="00753B96"/>
    <w:rsid w:val="007755FD"/>
    <w:rsid w:val="00780432"/>
    <w:rsid w:val="0079489D"/>
    <w:rsid w:val="007A714E"/>
    <w:rsid w:val="007A7913"/>
    <w:rsid w:val="007C3CDD"/>
    <w:rsid w:val="007C4D63"/>
    <w:rsid w:val="007C653E"/>
    <w:rsid w:val="007E12AE"/>
    <w:rsid w:val="007E2FDC"/>
    <w:rsid w:val="007E3757"/>
    <w:rsid w:val="007F3529"/>
    <w:rsid w:val="007F6883"/>
    <w:rsid w:val="00823A2D"/>
    <w:rsid w:val="00841751"/>
    <w:rsid w:val="008468AF"/>
    <w:rsid w:val="00866E1A"/>
    <w:rsid w:val="0087070E"/>
    <w:rsid w:val="008708CE"/>
    <w:rsid w:val="008732B0"/>
    <w:rsid w:val="0088295F"/>
    <w:rsid w:val="00897B4A"/>
    <w:rsid w:val="008B3F2E"/>
    <w:rsid w:val="008B4B36"/>
    <w:rsid w:val="008E218D"/>
    <w:rsid w:val="008E299B"/>
    <w:rsid w:val="00911860"/>
    <w:rsid w:val="00933D7D"/>
    <w:rsid w:val="00945312"/>
    <w:rsid w:val="009460AA"/>
    <w:rsid w:val="009662EB"/>
    <w:rsid w:val="009849A6"/>
    <w:rsid w:val="00986228"/>
    <w:rsid w:val="00994A9B"/>
    <w:rsid w:val="00995D7E"/>
    <w:rsid w:val="009A4471"/>
    <w:rsid w:val="009A6E29"/>
    <w:rsid w:val="009D5858"/>
    <w:rsid w:val="009E1E40"/>
    <w:rsid w:val="009E47E1"/>
    <w:rsid w:val="009E60DE"/>
    <w:rsid w:val="009F447F"/>
    <w:rsid w:val="00A055EB"/>
    <w:rsid w:val="00A2580D"/>
    <w:rsid w:val="00A31D6C"/>
    <w:rsid w:val="00A32231"/>
    <w:rsid w:val="00A5113E"/>
    <w:rsid w:val="00A64FD2"/>
    <w:rsid w:val="00AA4AD4"/>
    <w:rsid w:val="00AA6553"/>
    <w:rsid w:val="00AA7C3B"/>
    <w:rsid w:val="00AB22BD"/>
    <w:rsid w:val="00AB561B"/>
    <w:rsid w:val="00AC656F"/>
    <w:rsid w:val="00AD3837"/>
    <w:rsid w:val="00AF3969"/>
    <w:rsid w:val="00B2179E"/>
    <w:rsid w:val="00B24939"/>
    <w:rsid w:val="00B24F1C"/>
    <w:rsid w:val="00B3307D"/>
    <w:rsid w:val="00B529F6"/>
    <w:rsid w:val="00B559E1"/>
    <w:rsid w:val="00B63EF3"/>
    <w:rsid w:val="00BA6618"/>
    <w:rsid w:val="00BC10BC"/>
    <w:rsid w:val="00BC1656"/>
    <w:rsid w:val="00BC38D7"/>
    <w:rsid w:val="00BC6439"/>
    <w:rsid w:val="00C2196D"/>
    <w:rsid w:val="00C30932"/>
    <w:rsid w:val="00C43D52"/>
    <w:rsid w:val="00C46785"/>
    <w:rsid w:val="00C9336A"/>
    <w:rsid w:val="00C975E7"/>
    <w:rsid w:val="00CB276B"/>
    <w:rsid w:val="00CD0962"/>
    <w:rsid w:val="00CF3172"/>
    <w:rsid w:val="00CF7572"/>
    <w:rsid w:val="00D137AF"/>
    <w:rsid w:val="00D13FBF"/>
    <w:rsid w:val="00D6569A"/>
    <w:rsid w:val="00DB77DF"/>
    <w:rsid w:val="00DD36B5"/>
    <w:rsid w:val="00DE7B08"/>
    <w:rsid w:val="00DF2F04"/>
    <w:rsid w:val="00DF5E21"/>
    <w:rsid w:val="00E13540"/>
    <w:rsid w:val="00E16885"/>
    <w:rsid w:val="00E23FBC"/>
    <w:rsid w:val="00E33CF2"/>
    <w:rsid w:val="00E46564"/>
    <w:rsid w:val="00E56715"/>
    <w:rsid w:val="00E8547C"/>
    <w:rsid w:val="00EA5331"/>
    <w:rsid w:val="00EB21E6"/>
    <w:rsid w:val="00EB2BBD"/>
    <w:rsid w:val="00EB5A67"/>
    <w:rsid w:val="00EC12D9"/>
    <w:rsid w:val="00EE73B5"/>
    <w:rsid w:val="00EF41E4"/>
    <w:rsid w:val="00EF7D13"/>
    <w:rsid w:val="00F0763E"/>
    <w:rsid w:val="00F2403D"/>
    <w:rsid w:val="00F310E2"/>
    <w:rsid w:val="00F328A6"/>
    <w:rsid w:val="00F632E2"/>
    <w:rsid w:val="00F636A5"/>
    <w:rsid w:val="00F77992"/>
    <w:rsid w:val="00F85ADE"/>
    <w:rsid w:val="00F9042D"/>
    <w:rsid w:val="00F91454"/>
    <w:rsid w:val="00FA7E47"/>
    <w:rsid w:val="00FD74BB"/>
    <w:rsid w:val="00FE291F"/>
    <w:rsid w:val="00FE31ED"/>
    <w:rsid w:val="00FE7619"/>
    <w:rsid w:val="00FF15EB"/>
    <w:rsid w:val="00FF7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5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416</Words>
  <Characters>2374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2014-10-21T07:08:00Z</dcterms:created>
  <dcterms:modified xsi:type="dcterms:W3CDTF">2014-10-21T07:11:00Z</dcterms:modified>
</cp:coreProperties>
</file>